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  <w:r>
        <w:rPr>
          <w:rFonts w:ascii="HelveticaNeue-Bold" w:hAnsi="HelveticaNeue-Bold" w:cs="HelveticaNeue-Bold"/>
          <w:b/>
          <w:bCs/>
          <w:color w:val="2B6992"/>
        </w:rPr>
        <w:t>Educator Effectiveness - Dr. Kelly Burling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Federal, state and local governments and agencies have issued a charge to improve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educator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effectiveness in all schools across the country. Research has shown that teachers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and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school leaders are the most important school factor in student achievement; supporting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educator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effectiveness is the best means of supporting student learning. Districts must think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systematically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about how to staff teachers and school leaders based on the quality and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effectiveness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their instruction, rather than more traditional factors, such as experience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and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tenure.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This session helps decision makers gain insight into educator performance—what’s working,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what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isn’t, and what areas of focus will have the greatest impact on student learning. We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discuss the importance of multiple indicators for reliability, validity and a complete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profile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educator performance. A 360° perspective that illuminates both educator and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student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performance and helps educators understand the link between the two is the first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step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in identifying individualized development plans for educators that can have the most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significant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impact on their students.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  <w:r>
        <w:rPr>
          <w:rFonts w:ascii="Verdana" w:hAnsi="Verdana" w:cs="Verdana"/>
          <w:color w:val="000000"/>
          <w:sz w:val="20"/>
          <w:szCs w:val="20"/>
        </w:rPr>
        <w:t>TARGET AUDIENCE: Directors; Principals; Superintendents; Other District Administrators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  <w:r>
        <w:rPr>
          <w:rFonts w:ascii="Verdana-Italic" w:hAnsi="Verdana-Italic" w:cs="Verdana-Italic"/>
          <w:i/>
          <w:iCs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ABA1A4D" wp14:editId="008FDE82">
            <wp:simplePos x="0" y="0"/>
            <wp:positionH relativeFrom="column">
              <wp:posOffset>9525</wp:posOffset>
            </wp:positionH>
            <wp:positionV relativeFrom="paragraph">
              <wp:posOffset>132080</wp:posOffset>
            </wp:positionV>
            <wp:extent cx="14382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457" y="21343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79A6"/>
          <w:sz w:val="26"/>
          <w:szCs w:val="26"/>
        </w:rPr>
      </w:pPr>
      <w:r>
        <w:rPr>
          <w:rFonts w:ascii="HelveticaNeue-Bold" w:hAnsi="HelveticaNeue-Bold" w:cs="HelveticaNeue-Bold"/>
          <w:b/>
          <w:bCs/>
          <w:color w:val="0079A6"/>
          <w:sz w:val="26"/>
          <w:szCs w:val="26"/>
        </w:rPr>
        <w:t>From The Research &amp; Innovation Network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  <w:r>
        <w:rPr>
          <w:rFonts w:ascii="HelveticaNeue-Bold" w:hAnsi="HelveticaNeue-Bold" w:cs="HelveticaNeue-Bold"/>
          <w:b/>
          <w:bCs/>
          <w:color w:val="2B6992"/>
        </w:rPr>
        <w:t>Educator Effectiveness Lunch Keynote - Dr. Kelly Burling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 xml:space="preserve">Kelly Burling, Ph.D. directs </w:t>
      </w: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 xml:space="preserve">strategy, business, and product </w:t>
      </w: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development coordination fo</w:t>
      </w: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 xml:space="preserve">r educator effectiveness across </w:t>
      </w: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Pearson's North American business uni</w:t>
      </w: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 xml:space="preserve">ts. She is also the Director of </w:t>
      </w: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Pearson's Center for Educator Effec</w:t>
      </w: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 xml:space="preserve">tiveness where she oversees the </w:t>
      </w: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coordination of the Center research agenda; as well as overseeing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  <w:proofErr w:type="gramStart"/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development</w:t>
      </w:r>
      <w:proofErr w:type="gramEnd"/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 xml:space="preserve"> and implementation o</w:t>
      </w: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 xml:space="preserve">f such programs as the </w:t>
      </w:r>
      <w:proofErr w:type="spellStart"/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National</w:t>
      </w: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Board</w:t>
      </w:r>
      <w:proofErr w:type="spellEnd"/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 xml:space="preserve"> for Professional Teachin</w:t>
      </w: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 xml:space="preserve">g Standards and the New Leaders </w:t>
      </w: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Model for the Continuous Im</w:t>
      </w: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 xml:space="preserve">provement of School Leaders. At </w:t>
      </w: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Pearson, Kelly began her career in th</w:t>
      </w: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 xml:space="preserve">e Research division of Test and </w:t>
      </w: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Measurement Services where she s</w:t>
      </w: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 xml:space="preserve">erved as an expert on alternate </w:t>
      </w: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and innovative assessment. Pr</w:t>
      </w: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 xml:space="preserve">ior to Pearson, Kelly worked on </w:t>
      </w: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Universal Design applications in computer based testing at CAST,</w:t>
      </w:r>
    </w:p>
    <w:p w:rsidR="00BA03A7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  <w:proofErr w:type="gramStart"/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the</w:t>
      </w:r>
      <w:proofErr w:type="gramEnd"/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 xml:space="preserve"> Center for Applied Special Techn</w:t>
      </w: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 xml:space="preserve">ology, and as a </w:t>
      </w:r>
      <w:proofErr w:type="spellStart"/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psychometrician</w:t>
      </w:r>
      <w:proofErr w:type="spellEnd"/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 xml:space="preserve"> </w:t>
      </w:r>
      <w:r>
        <w:rPr>
          <w:rFonts w:ascii="Verdana-Italic" w:hAnsi="Verdana-Italic" w:cs="Verdana-Italic"/>
          <w:i/>
          <w:iCs/>
          <w:color w:val="000000"/>
          <w:sz w:val="18"/>
          <w:szCs w:val="18"/>
        </w:rPr>
        <w:t>for the North Carolina Department of Public Instruction.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18"/>
          <w:szCs w:val="18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79A6"/>
          <w:sz w:val="26"/>
          <w:szCs w:val="26"/>
        </w:rPr>
      </w:pPr>
      <w:r>
        <w:rPr>
          <w:rFonts w:ascii="HelveticaNeue-Bold" w:hAnsi="HelveticaNeue-Bold" w:cs="HelveticaNeue-Bold"/>
          <w:b/>
          <w:bCs/>
          <w:color w:val="0079A6"/>
          <w:sz w:val="26"/>
          <w:szCs w:val="26"/>
        </w:rPr>
        <w:t>Administrative Track - From School Achievement Services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  <w:r>
        <w:rPr>
          <w:rFonts w:ascii="HelveticaNeue-Bold" w:hAnsi="HelveticaNeue-Bold" w:cs="HelveticaNeue-Bold"/>
          <w:b/>
          <w:bCs/>
          <w:color w:val="2B6992"/>
        </w:rPr>
        <w:t>Common Core Assessment Readiness: Technical Infrastructure Analysis - TBD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You are in the process of helping your teachers and students prepare for the Common Core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State Standards assessments—but are you helping prepare your building? The fact is, most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districts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might initially struggle with ensuring that their current technology infrastructure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can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handle the new online assessments. Join us to gain understanding of what the new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performance-based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assessments are likely to present and how to prepare your technology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infrastructure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to handle them.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TARGET AUDIENCE: District IT Directors; Other District Administrators; SIS Agnostic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  <w:r>
        <w:rPr>
          <w:rFonts w:ascii="HelveticaNeue-Bold" w:hAnsi="HelveticaNeue-Bold" w:cs="HelveticaNeue-Bold"/>
          <w:b/>
          <w:bCs/>
          <w:color w:val="2B6992"/>
        </w:rPr>
        <w:t>Leadership and the Common Core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  <w:r>
        <w:rPr>
          <w:rFonts w:ascii="HelveticaNeue-Bold" w:hAnsi="HelveticaNeue-Bold" w:cs="HelveticaNeue-Bold"/>
          <w:b/>
          <w:bCs/>
          <w:color w:val="2B6992"/>
        </w:rPr>
        <w:t>Janet Davis, Mathematics Specialist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This session for educational leaders introduces participants to using performance tasks to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inform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instruction and explores the indicators of effective instruction in Common Core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classrooms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 Participants will engage with the criteria and indicators through videos and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classroom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observation scenarios in order to identify evidence of criteria and indicators in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practice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 They will discuss how to use feedback to improve practice and explore how to use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performance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tasks to identify what students know and to build a coaching model that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objectifies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conversations for adult learners.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TARGET AUDIENCE: District and School Curriculum Personnel, Teachers, Principals;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Superintendents; Other District Administrators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44E49" w:rsidRDefault="00544E49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  <w:r>
        <w:rPr>
          <w:rFonts w:ascii="HelveticaNeue-Bold" w:hAnsi="HelveticaNeue-Bold" w:cs="HelveticaNeue-Bold"/>
          <w:b/>
          <w:bCs/>
          <w:color w:val="2B6992"/>
        </w:rPr>
        <w:t>Writing for the Common Core,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  <w:r>
        <w:rPr>
          <w:rFonts w:ascii="HelveticaNeue-Bold" w:hAnsi="HelveticaNeue-Bold" w:cs="HelveticaNeue-Bold"/>
          <w:b/>
          <w:bCs/>
          <w:color w:val="2B6992"/>
        </w:rPr>
        <w:t>Susan Powell, Elementary Literacy Specialist</w:t>
      </w:r>
    </w:p>
    <w:p w:rsidR="00544E49" w:rsidRDefault="00544E49" w:rsidP="00D9562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0"/>
          <w:szCs w:val="20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You may have an assessment tool, are able to deliver assessments but would like to write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effectively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and with the common core in mind. Today, many Teachers, District and School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Curriculum leaders create items for assessment. This session will explore ways for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developing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and sustaining good writers who meet the Common Core standards. Participants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gain an understanding of the routines and rituals that support writing and build stamina,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discuss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genres and text types, and learn how to analyze student work for evidence of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meeting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standards.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TARGET AUDIENCE: District and School Curriculum Personnel, Teachers, Principals;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Superintendents; Other District Administrators</w:t>
      </w:r>
    </w:p>
    <w:p w:rsidR="00544E49" w:rsidRDefault="00544E49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  <w:r>
        <w:rPr>
          <w:rFonts w:ascii="HelveticaNeue-Bold" w:hAnsi="HelveticaNeue-Bold" w:cs="HelveticaNeue-Bold"/>
          <w:b/>
          <w:bCs/>
          <w:color w:val="2B6992"/>
        </w:rPr>
        <w:t>Why are we doing this? Prepare students for College and Career,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B6992"/>
        </w:rPr>
      </w:pPr>
      <w:proofErr w:type="spellStart"/>
      <w:r>
        <w:rPr>
          <w:rFonts w:ascii="HelveticaNeue-Bold" w:hAnsi="HelveticaNeue-Bold" w:cs="HelveticaNeue-Bold"/>
          <w:b/>
          <w:bCs/>
          <w:color w:val="2B6992"/>
        </w:rPr>
        <w:t>Aletta</w:t>
      </w:r>
      <w:proofErr w:type="spellEnd"/>
      <w:r>
        <w:rPr>
          <w:rFonts w:ascii="HelveticaNeue-Bold" w:hAnsi="HelveticaNeue-Bold" w:cs="HelveticaNeue-Bold"/>
          <w:b/>
          <w:bCs/>
          <w:color w:val="2B6992"/>
        </w:rPr>
        <w:t xml:space="preserve"> Price, Field Service Specialist, School Improvement</w:t>
      </w:r>
    </w:p>
    <w:p w:rsidR="00544E49" w:rsidRDefault="00544E49" w:rsidP="00D9562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  <w:sz w:val="20"/>
          <w:szCs w:val="20"/>
        </w:rPr>
      </w:pP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this session we explore how the curriculum connects purposeful learning with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expectations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for student understanding, and how to balance the curriculum map, the unit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plan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and the daily lesson to maximize the rigorous and engaging learning experiences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presented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to students.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TARGET AUDIENCE: District and School Curriculum Personnel, Teachers, Principals;</w:t>
      </w:r>
    </w:p>
    <w:p w:rsidR="00D95628" w:rsidRDefault="00D95628" w:rsidP="00D95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Superinte</w:t>
      </w:r>
      <w:bookmarkStart w:id="0" w:name="_GoBack"/>
      <w:bookmarkEnd w:id="0"/>
      <w:r>
        <w:rPr>
          <w:rFonts w:ascii="Verdana" w:hAnsi="Verdana" w:cs="Verdana"/>
          <w:color w:val="000000"/>
          <w:sz w:val="20"/>
          <w:szCs w:val="20"/>
        </w:rPr>
        <w:t>ndents; Other District Administrators</w:t>
      </w:r>
    </w:p>
    <w:sectPr w:rsidR="00D95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28"/>
    <w:rsid w:val="00544E49"/>
    <w:rsid w:val="00BA03A7"/>
    <w:rsid w:val="00D9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Priscilla</dc:creator>
  <cp:lastModifiedBy>Willis, Priscilla</cp:lastModifiedBy>
  <cp:revision>1</cp:revision>
  <dcterms:created xsi:type="dcterms:W3CDTF">2013-01-22T12:50:00Z</dcterms:created>
  <dcterms:modified xsi:type="dcterms:W3CDTF">2013-01-22T13:04:00Z</dcterms:modified>
</cp:coreProperties>
</file>